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center"/>
        <w:rPr>
          <w:rFonts w:hint="eastAsia" w:ascii="楷体" w:hAnsi="楷体" w:eastAsia="楷体" w:cs="楷体"/>
          <w:b/>
          <w:bCs/>
          <w:i w:val="0"/>
          <w:caps w:val="0"/>
          <w:color w:val="333333"/>
          <w:spacing w:val="0"/>
          <w:sz w:val="40"/>
          <w:szCs w:val="40"/>
          <w:u w:val="none"/>
          <w:shd w:val="clear" w:fill="FEFEFE"/>
        </w:rPr>
      </w:pPr>
      <w:r>
        <w:rPr>
          <w:rFonts w:hint="eastAsia" w:ascii="楷体" w:hAnsi="楷体" w:eastAsia="楷体" w:cs="楷体"/>
          <w:b/>
          <w:bCs/>
          <w:i w:val="0"/>
          <w:caps w:val="0"/>
          <w:color w:val="333333"/>
          <w:spacing w:val="0"/>
          <w:sz w:val="40"/>
          <w:szCs w:val="40"/>
          <w:u w:val="none"/>
          <w:shd w:val="clear" w:fill="FEFEFE"/>
        </w:rPr>
        <w:t>福建省机关事业单位招考专业指导目录（2021年）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10"/>
          <w:kern w:val="0"/>
          <w:sz w:val="24"/>
          <w:szCs w:val="24"/>
          <w:shd w:val="clear" w:fill="FEFEFE"/>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10"/>
          <w:kern w:val="0"/>
          <w:sz w:val="24"/>
          <w:szCs w:val="24"/>
          <w:shd w:val="clear" w:fill="FEFEFE"/>
          <w:lang w:val="en-US" w:eastAsia="zh-CN" w:bidi="ar"/>
        </w:rPr>
      </w:pPr>
      <w:bookmarkStart w:id="0" w:name="_GoBack"/>
      <w:bookmarkEnd w:id="0"/>
      <w:r>
        <w:rPr>
          <w:rFonts w:hint="eastAsia" w:ascii="宋体" w:hAnsi="宋体" w:eastAsia="宋体" w:cs="宋体"/>
          <w:b w:val="0"/>
          <w:i w:val="0"/>
          <w:caps w:val="0"/>
          <w:color w:val="000000"/>
          <w:spacing w:val="-10"/>
          <w:kern w:val="0"/>
          <w:sz w:val="24"/>
          <w:szCs w:val="24"/>
          <w:shd w:val="clear" w:fill="FEFEFE"/>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10"/>
          <w:kern w:val="0"/>
          <w:sz w:val="24"/>
          <w:szCs w:val="24"/>
          <w:shd w:val="clear" w:fill="FEFEFE"/>
          <w:lang w:val="en-US" w:eastAsia="zh-CN" w:bidi="ar"/>
        </w:rPr>
      </w:pPr>
      <w:r>
        <w:rPr>
          <w:rFonts w:hint="eastAsia" w:ascii="宋体" w:hAnsi="宋体" w:eastAsia="宋体" w:cs="宋体"/>
          <w:b w:val="0"/>
          <w:i w:val="0"/>
          <w:caps w:val="0"/>
          <w:color w:val="000000"/>
          <w:spacing w:val="-1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10"/>
          <w:kern w:val="0"/>
          <w:sz w:val="24"/>
          <w:szCs w:val="24"/>
          <w:shd w:val="clear" w:fill="FEFEFE"/>
          <w:lang w:val="en-US" w:eastAsia="zh-CN" w:bidi="ar"/>
        </w:rPr>
      </w:pPr>
      <w:r>
        <w:rPr>
          <w:rFonts w:hint="eastAsia" w:ascii="宋体" w:hAnsi="宋体" w:eastAsia="宋体" w:cs="宋体"/>
          <w:b w:val="0"/>
          <w:i w:val="0"/>
          <w:caps w:val="0"/>
          <w:color w:val="000000"/>
          <w:spacing w:val="-10"/>
          <w:kern w:val="0"/>
          <w:sz w:val="24"/>
          <w:szCs w:val="24"/>
          <w:shd w:val="clear" w:fill="FEFEFE"/>
          <w:lang w:val="en-US" w:eastAsia="zh-CN" w:bidi="ar"/>
        </w:rPr>
        <w:t>本目录由招录（聘）主管部门负责解释。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10"/>
          <w:kern w:val="0"/>
          <w:sz w:val="24"/>
          <w:szCs w:val="24"/>
          <w:shd w:val="clear" w:fill="FEFEFE"/>
          <w:lang w:val="en-US" w:eastAsia="zh-CN" w:bidi="ar"/>
        </w:rPr>
      </w:pPr>
    </w:p>
    <w:tbl>
      <w:tblPr>
        <w:tblStyle w:val="2"/>
        <w:tblW w:w="0" w:type="auto"/>
        <w:jc w:val="center"/>
        <w:shd w:val="clear" w:color="auto" w:fill="auto"/>
        <w:tblLayout w:type="fixed"/>
        <w:tblCellMar>
          <w:top w:w="0" w:type="dxa"/>
          <w:left w:w="0" w:type="dxa"/>
          <w:bottom w:w="0" w:type="dxa"/>
          <w:right w:w="0" w:type="dxa"/>
        </w:tblCellMar>
      </w:tblPr>
      <w:tblGrid>
        <w:gridCol w:w="12000"/>
      </w:tblGrid>
      <w:tr>
        <w:tblPrEx>
          <w:shd w:val="clear" w:color="auto" w:fill="auto"/>
          <w:tblCellMar>
            <w:top w:w="0" w:type="dxa"/>
            <w:left w:w="0" w:type="dxa"/>
            <w:bottom w:w="0" w:type="dxa"/>
            <w:right w:w="0" w:type="dxa"/>
          </w:tblCellMar>
        </w:tblPrEx>
        <w:trPr>
          <w:jc w:val="center"/>
        </w:trPr>
        <w:tc>
          <w:tcPr>
            <w:tcW w:w="1200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kern w:val="0"/>
                <w:sz w:val="24"/>
                <w:szCs w:val="24"/>
                <w:lang w:val="en-US" w:eastAsia="zh-CN" w:bidi="ar"/>
              </w:rPr>
              <w:t>  </w:t>
            </w:r>
            <w:r>
              <w:rPr>
                <w:rFonts w:hint="eastAsia" w:ascii="宋体" w:hAnsi="宋体" w:eastAsia="宋体" w:cs="宋体"/>
                <w:b/>
                <w:kern w:val="0"/>
                <w:sz w:val="24"/>
                <w:szCs w:val="24"/>
                <w:lang w:val="en-US" w:eastAsia="zh-CN" w:bidi="ar"/>
              </w:rPr>
              <w:t>一、哲学、文学、历史学大类</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left"/>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b w:val="0"/>
                <w:bCs/>
                <w:kern w:val="0"/>
                <w:sz w:val="24"/>
                <w:szCs w:val="24"/>
                <w:lang w:val="en-US" w:eastAsia="zh-CN" w:bidi="ar"/>
              </w:rPr>
              <w:t>哲学，逻辑学，宗教学，伦理学，马克思主义哲学，中国哲学，外国哲学，美学，科学技术哲学，科学技术史</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b w:val="0"/>
                <w:bCs w:val="0"/>
                <w:kern w:val="0"/>
                <w:sz w:val="24"/>
                <w:szCs w:val="24"/>
                <w:lang w:val="en-US" w:eastAsia="zh-CN" w:bidi="ar"/>
              </w:rPr>
              <w:t>2.</w:t>
            </w:r>
            <w:r>
              <w:rPr>
                <w:rFonts w:hint="eastAsia" w:ascii="宋体" w:hAnsi="宋体" w:eastAsia="宋体" w:cs="宋体"/>
                <w:b/>
                <w:bCs/>
                <w:kern w:val="0"/>
                <w:sz w:val="24"/>
                <w:szCs w:val="24"/>
                <w:lang w:val="en-US" w:eastAsia="zh-CN" w:bidi="ar"/>
              </w:rPr>
              <w:t>中国语言文学类：</w:t>
            </w:r>
            <w:r>
              <w:rPr>
                <w:rFonts w:hint="eastAsia" w:ascii="宋体" w:hAnsi="宋体" w:eastAsia="宋体" w:cs="宋体"/>
                <w:b w:val="0"/>
                <w:bCs w:val="0"/>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CellMar>
            <w:top w:w="0" w:type="dxa"/>
            <w:left w:w="0" w:type="dxa"/>
            <w:bottom w:w="0" w:type="dxa"/>
            <w:right w:w="0" w:type="dxa"/>
          </w:tblCellMar>
        </w:tblPrEx>
        <w:trPr>
          <w:trHeight w:val="21"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jc w:val="left"/>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b w:val="0"/>
                <w:bCs/>
                <w:kern w:val="0"/>
                <w:sz w:val="24"/>
                <w:szCs w:val="24"/>
                <w:lang w:val="en-US" w:eastAsia="zh-CN" w:bidi="ar"/>
              </w:rPr>
              <w:t>中国少数民族语言文学（藏语言文学、蒙古语言文学、维吾尔语言文学、朝鲜语言文学、哈萨克语言文学等），中国少数民族语言文化</w:t>
            </w:r>
          </w:p>
        </w:tc>
      </w:tr>
      <w:tr>
        <w:tblPrEx>
          <w:shd w:val="clear" w:color="auto" w:fill="auto"/>
          <w:tblCellMar>
            <w:top w:w="0" w:type="dxa"/>
            <w:left w:w="0" w:type="dxa"/>
            <w:bottom w:w="0" w:type="dxa"/>
            <w:right w:w="0" w:type="dxa"/>
          </w:tblCellMar>
        </w:tblPrEx>
        <w:trPr>
          <w:trHeight w:val="21"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jc w:val="left"/>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b w:val="0"/>
                <w:bCs/>
                <w:kern w:val="0"/>
                <w:sz w:val="24"/>
                <w:szCs w:val="24"/>
                <w:lang w:val="en-US" w:eastAsia="zh-CN" w:bidi="ar"/>
              </w:rPr>
              <w:t>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1844" w:hRule="atLeast"/>
          <w:jc w:val="center"/>
        </w:trPr>
        <w:tc>
          <w:tcPr>
            <w:tcW w:w="12000" w:type="dxa"/>
            <w:tcBorders>
              <w:top w:val="nil"/>
              <w:left w:val="single" w:color="auto" w:sz="8" w:space="0"/>
              <w:bottom w:val="nil"/>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b w:val="0"/>
                <w:bCs/>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tc>
      </w:tr>
      <w:tr>
        <w:tblPrEx>
          <w:shd w:val="clear" w:color="auto" w:fill="auto"/>
          <w:tblCellMar>
            <w:top w:w="0" w:type="dxa"/>
            <w:left w:w="0" w:type="dxa"/>
            <w:bottom w:w="0" w:type="dxa"/>
            <w:right w:w="0" w:type="dxa"/>
          </w:tblCellMar>
        </w:tblPrEx>
        <w:trPr>
          <w:trHeight w:val="21" w:hRule="atLeast"/>
          <w:jc w:val="center"/>
        </w:trPr>
        <w:tc>
          <w:tcPr>
            <w:tcW w:w="1200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hanging="3"/>
              <w:jc w:val="left"/>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tc>
      </w:tr>
      <w:tr>
        <w:tblPrEx>
          <w:shd w:val="clear" w:color="auto" w:fill="auto"/>
          <w:tblCellMar>
            <w:top w:w="0" w:type="dxa"/>
            <w:left w:w="0" w:type="dxa"/>
            <w:bottom w:w="0" w:type="dxa"/>
            <w:right w:w="0" w:type="dxa"/>
          </w:tblCellMar>
        </w:tblPrEx>
        <w:trPr>
          <w:trHeight w:val="32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hanging="3"/>
              <w:jc w:val="left"/>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hanging="3"/>
              <w:jc w:val="left"/>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二、经济学、管理学大类</w:t>
            </w:r>
          </w:p>
        </w:tc>
      </w:tr>
      <w:tr>
        <w:tblPrEx>
          <w:tblCellMar>
            <w:top w:w="0" w:type="dxa"/>
            <w:left w:w="0" w:type="dxa"/>
            <w:bottom w:w="0" w:type="dxa"/>
            <w:right w:w="0" w:type="dxa"/>
          </w:tblCellMar>
        </w:tblPrEx>
        <w:trPr>
          <w:trHeight w:val="406"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CellMar>
            <w:top w:w="0" w:type="dxa"/>
            <w:left w:w="0" w:type="dxa"/>
            <w:bottom w:w="0" w:type="dxa"/>
            <w:right w:w="0" w:type="dxa"/>
          </w:tblCellMar>
        </w:tblPrEx>
        <w:trPr>
          <w:trHeight w:val="119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shd w:val="clear" w:color="auto" w:fill="auto"/>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tc>
      </w:tr>
      <w:tr>
        <w:tblPrEx>
          <w:shd w:val="clear" w:color="auto" w:fill="auto"/>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tc>
      </w:tr>
      <w:tr>
        <w:tblPrEx>
          <w:shd w:val="clear" w:color="auto" w:fill="auto"/>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jc w:val="left"/>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shd w:val="clear" w:color="auto" w:fill="auto"/>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tc>
      </w:tr>
      <w:tr>
        <w:tblPrEx>
          <w:shd w:val="clear" w:color="auto" w:fill="auto"/>
          <w:tblCellMar>
            <w:top w:w="0" w:type="dxa"/>
            <w:left w:w="0" w:type="dxa"/>
            <w:bottom w:w="0" w:type="dxa"/>
            <w:right w:w="0" w:type="dxa"/>
          </w:tblCellMar>
        </w:tblPrEx>
        <w:trPr>
          <w:trHeight w:val="223"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23" w:lineRule="atLeast"/>
              <w:ind w:left="0" w:right="0" w:hanging="3"/>
              <w:jc w:val="left"/>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shd w:val="clear" w:color="auto" w:fill="auto"/>
          <w:tblCellMar>
            <w:top w:w="0" w:type="dxa"/>
            <w:left w:w="0" w:type="dxa"/>
            <w:bottom w:w="0" w:type="dxa"/>
            <w:right w:w="0" w:type="dxa"/>
          </w:tblCellMar>
        </w:tblPrEx>
        <w:trPr>
          <w:trHeight w:val="247"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三、法学大类</w:t>
            </w:r>
          </w:p>
        </w:tc>
      </w:tr>
      <w:tr>
        <w:tblPrEx>
          <w:shd w:val="clear" w:color="auto" w:fill="auto"/>
          <w:tblCellMar>
            <w:top w:w="0" w:type="dxa"/>
            <w:left w:w="0" w:type="dxa"/>
            <w:bottom w:w="0" w:type="dxa"/>
            <w:right w:w="0" w:type="dxa"/>
          </w:tblCellMar>
        </w:tblPrEx>
        <w:trPr>
          <w:trHeight w:val="247"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both"/>
              <w:rPr>
                <w:rFonts w:hint="eastAsia" w:ascii="宋体" w:hAnsi="宋体" w:eastAsia="宋体" w:cs="宋体"/>
                <w:b/>
                <w:kern w:val="0"/>
                <w:sz w:val="24"/>
                <w:szCs w:val="24"/>
                <w:lang w:val="en-US" w:eastAsia="zh-CN" w:bidi="ar"/>
              </w:rPr>
            </w:pPr>
            <w:r>
              <w:rPr>
                <w:rFonts w:hint="eastAsia" w:ascii="宋体" w:hAnsi="宋体" w:eastAsia="宋体" w:cs="宋体"/>
                <w:b w:val="0"/>
                <w:bCs/>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b w:val="0"/>
                <w:bCs/>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18" w:lineRule="atLeast"/>
              <w:ind w:left="0" w:right="0" w:hanging="3"/>
              <w:jc w:val="left"/>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shd w:val="clear" w:color="auto" w:fill="auto"/>
          <w:tblCellMar>
            <w:top w:w="0" w:type="dxa"/>
            <w:left w:w="0" w:type="dxa"/>
            <w:bottom w:w="0" w:type="dxa"/>
            <w:right w:w="0" w:type="dxa"/>
          </w:tblCellMar>
        </w:tblPrEx>
        <w:trPr>
          <w:trHeight w:val="1956"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四、教育学大类</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五、理学、工学大类</w:t>
            </w:r>
          </w:p>
        </w:tc>
      </w:tr>
      <w:tr>
        <w:tblPrEx>
          <w:shd w:val="clear" w:color="auto" w:fill="auto"/>
          <w:tblCellMar>
            <w:top w:w="0" w:type="dxa"/>
            <w:left w:w="0" w:type="dxa"/>
            <w:bottom w:w="0" w:type="dxa"/>
            <w:right w:w="0" w:type="dxa"/>
          </w:tblCellMar>
        </w:tblPrEx>
        <w:trPr>
          <w:trHeight w:val="1326"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数学与应用数学（统计学方向）</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tc>
      </w:tr>
      <w:tr>
        <w:tblPrEx>
          <w:shd w:val="clear" w:color="auto" w:fill="auto"/>
          <w:tblCellMar>
            <w:top w:w="0" w:type="dxa"/>
            <w:left w:w="0" w:type="dxa"/>
            <w:bottom w:w="0" w:type="dxa"/>
            <w:right w:w="0" w:type="dxa"/>
          </w:tblCellMar>
        </w:tblPrEx>
        <w:trPr>
          <w:trHeight w:val="130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44.</w:t>
            </w:r>
            <w:r>
              <w:rPr>
                <w:rFonts w:hint="eastAsia" w:ascii="宋体" w:hAnsi="宋体" w:eastAsia="宋体" w:cs="宋体"/>
                <w:b/>
                <w:bCs/>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5091"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测控技术与仪器，电子信息技术及仪器，精密仪器及机械，测试计量技术及仪器，仪器科学与技术，工程硕士（仪器仪表工程），电子测量技术与仪器</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tc>
      </w:tr>
      <w:tr>
        <w:tblPrEx>
          <w:shd w:val="clear" w:color="auto" w:fill="auto"/>
          <w:tblCellMar>
            <w:top w:w="0" w:type="dxa"/>
            <w:left w:w="0" w:type="dxa"/>
            <w:bottom w:w="0" w:type="dxa"/>
            <w:right w:w="0" w:type="dxa"/>
          </w:tblCellMar>
        </w:tblPrEx>
        <w:trPr>
          <w:trHeight w:val="36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b w:val="0"/>
                <w:bCs/>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 xml:space="preserve">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53. </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bCs/>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54. </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bCs/>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55. </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bCs/>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bCs/>
                <w:kern w:val="0"/>
                <w:sz w:val="24"/>
                <w:szCs w:val="24"/>
                <w:lang w:val="en-US" w:eastAsia="zh-CN" w:bidi="ar"/>
              </w:rPr>
              <w:t>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bCs/>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58. </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bCs/>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59. </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shd w:val="clear" w:color="auto" w:fill="auto"/>
          <w:tblCellMar>
            <w:top w:w="0" w:type="dxa"/>
            <w:left w:w="0" w:type="dxa"/>
            <w:bottom w:w="0" w:type="dxa"/>
            <w:right w:w="0" w:type="dxa"/>
          </w:tblCellMar>
        </w:tblPrEx>
        <w:trPr>
          <w:trHeight w:val="994"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交通安全与灾害防治工程</w:t>
            </w:r>
          </w:p>
        </w:tc>
      </w:tr>
      <w:tr>
        <w:tblPrEx>
          <w:shd w:val="clear" w:color="auto" w:fill="auto"/>
          <w:tblCellMar>
            <w:top w:w="0" w:type="dxa"/>
            <w:left w:w="0" w:type="dxa"/>
            <w:bottom w:w="0" w:type="dxa"/>
            <w:right w:w="0" w:type="dxa"/>
          </w:tblCellMar>
        </w:tblPrEx>
        <w:trPr>
          <w:trHeight w:val="68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CellMar>
            <w:top w:w="0" w:type="dxa"/>
            <w:left w:w="0" w:type="dxa"/>
            <w:bottom w:w="0" w:type="dxa"/>
            <w:right w:w="0" w:type="dxa"/>
          </w:tblCellMar>
        </w:tblPrEx>
        <w:trPr>
          <w:trHeight w:val="624"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65.</w:t>
            </w:r>
            <w:r>
              <w:rPr>
                <w:rFonts w:hint="eastAsia" w:ascii="宋体" w:hAnsi="宋体" w:eastAsia="宋体" w:cs="宋体"/>
                <w:b/>
                <w:bCs/>
                <w:kern w:val="0"/>
                <w:sz w:val="24"/>
                <w:szCs w:val="24"/>
                <w:lang w:val="en-US" w:eastAsia="zh-CN" w:bidi="ar"/>
              </w:rPr>
              <w:t>交通运输类：</w:t>
            </w:r>
            <w:r>
              <w:rPr>
                <w:rFonts w:hint="eastAsia" w:ascii="宋体" w:hAnsi="宋体" w:eastAsia="宋体" w:cs="宋体"/>
                <w:b/>
                <w:kern w:val="0"/>
                <w:sz w:val="24"/>
                <w:szCs w:val="24"/>
                <w:lang w:val="en-US" w:eastAsia="zh-CN" w:bidi="ar"/>
              </w:rPr>
              <w:t>交通运输综合管理类，交通运输装备类，公路运输类，铁道运输类，城市轨道运输类，水上运输类，民航运输类，港口运输类，管道运输类</w:t>
            </w:r>
          </w:p>
        </w:tc>
      </w:tr>
      <w:tr>
        <w:tblPrEx>
          <w:shd w:val="clear" w:color="auto" w:fill="auto"/>
          <w:tblCellMar>
            <w:top w:w="0" w:type="dxa"/>
            <w:left w:w="0" w:type="dxa"/>
            <w:bottom w:w="0" w:type="dxa"/>
            <w:right w:w="0" w:type="dxa"/>
          </w:tblCellMar>
        </w:tblPrEx>
        <w:trPr>
          <w:trHeight w:val="624"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shd w:val="clear" w:color="auto" w:fill="auto"/>
          <w:tblCellMar>
            <w:top w:w="0" w:type="dxa"/>
            <w:left w:w="0" w:type="dxa"/>
            <w:bottom w:w="0" w:type="dxa"/>
            <w:right w:w="0" w:type="dxa"/>
          </w:tblCellMar>
        </w:tblPrEx>
        <w:trPr>
          <w:trHeight w:val="347"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shd w:val="clear" w:color="auto" w:fill="auto"/>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tc>
      </w:tr>
      <w:tr>
        <w:tblPrEx>
          <w:shd w:val="clear" w:color="auto" w:fill="auto"/>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shd w:val="clear" w:color="auto" w:fill="auto"/>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shd w:val="clear" w:color="auto" w:fill="auto"/>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shd w:val="clear" w:color="auto" w:fill="auto"/>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shd w:val="clear" w:color="auto" w:fill="auto"/>
          <w:tblCellMar>
            <w:top w:w="0" w:type="dxa"/>
            <w:left w:w="0" w:type="dxa"/>
            <w:bottom w:w="0" w:type="dxa"/>
            <w:right w:w="0" w:type="dxa"/>
          </w:tblCellMar>
        </w:tblPrEx>
        <w:trPr>
          <w:trHeight w:val="42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shd w:val="clear" w:color="auto" w:fill="auto"/>
          <w:tblCellMar>
            <w:top w:w="0" w:type="dxa"/>
            <w:left w:w="0" w:type="dxa"/>
            <w:bottom w:w="0" w:type="dxa"/>
            <w:right w:w="0" w:type="dxa"/>
          </w:tblCellMar>
        </w:tblPrEx>
        <w:trPr>
          <w:trHeight w:val="68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1595"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shd w:val="clear" w:color="auto" w:fill="auto"/>
          <w:tblCellMar>
            <w:top w:w="0" w:type="dxa"/>
            <w:left w:w="0" w:type="dxa"/>
            <w:bottom w:w="0" w:type="dxa"/>
            <w:right w:w="0" w:type="dxa"/>
          </w:tblCellMar>
        </w:tblPrEx>
        <w:trPr>
          <w:trHeight w:val="465"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shd w:val="clear" w:color="auto" w:fill="auto"/>
          <w:tblCellMar>
            <w:top w:w="0" w:type="dxa"/>
            <w:left w:w="0" w:type="dxa"/>
            <w:bottom w:w="0" w:type="dxa"/>
            <w:right w:w="0" w:type="dxa"/>
          </w:tblCellMar>
        </w:tblPrEx>
        <w:trPr>
          <w:trHeight w:val="465"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理论与应用力学，工程力学，工程结构分析，一般力学与力学基础，固体力学，流体力学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生物工程，生物制药，生物医学工程，生物系统工程，生物技术及应用，生物实验技术，生物化工工艺，微生物技术及应用，病原生物学生物工程，微生物学与生化药学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森林工程，木材科学与工程，林产化工，木材科学与技术，林产化学加工，林产化学加工工程，林产科学与化学工程，家具设计与工程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shd w:val="clear" w:color="auto" w:fill="auto"/>
          <w:tblCellMar>
            <w:top w:w="0" w:type="dxa"/>
            <w:left w:w="0" w:type="dxa"/>
            <w:bottom w:w="0" w:type="dxa"/>
            <w:right w:w="0" w:type="dxa"/>
          </w:tblCellMar>
        </w:tblPrEx>
        <w:trPr>
          <w:trHeight w:val="4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42" w:lineRule="atLeast"/>
              <w:ind w:left="0" w:right="0" w:hanging="3"/>
              <w:jc w:val="center"/>
            </w:pPr>
            <w:r>
              <w:rPr>
                <w:rFonts w:hint="eastAsia" w:ascii="宋体" w:hAnsi="宋体" w:eastAsia="宋体" w:cs="宋体"/>
                <w:b/>
                <w:kern w:val="0"/>
                <w:sz w:val="24"/>
                <w:szCs w:val="24"/>
                <w:lang w:val="en-US" w:eastAsia="zh-CN" w:bidi="ar"/>
              </w:rPr>
              <w:t>六、医学大类</w:t>
            </w:r>
          </w:p>
        </w:tc>
      </w:tr>
      <w:tr>
        <w:tblPrEx>
          <w:shd w:val="clear" w:color="auto" w:fill="auto"/>
          <w:tblCellMar>
            <w:top w:w="0" w:type="dxa"/>
            <w:left w:w="0" w:type="dxa"/>
            <w:bottom w:w="0" w:type="dxa"/>
            <w:right w:w="0" w:type="dxa"/>
          </w:tblCellMar>
        </w:tblPrEx>
        <w:trPr>
          <w:trHeight w:val="4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42" w:lineRule="atLeast"/>
              <w:ind w:left="0" w:right="0" w:hanging="3"/>
              <w:jc w:val="left"/>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shd w:val="clear" w:color="auto" w:fill="auto"/>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tc>
      </w:tr>
      <w:tr>
        <w:tblPrEx>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shd w:val="clear" w:color="auto" w:fill="auto"/>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tc>
      </w:tr>
      <w:tr>
        <w:tblPrEx>
          <w:shd w:val="clear" w:color="auto" w:fill="auto"/>
          <w:tblCellMar>
            <w:top w:w="0" w:type="dxa"/>
            <w:left w:w="0" w:type="dxa"/>
            <w:bottom w:w="0" w:type="dxa"/>
            <w:right w:w="0" w:type="dxa"/>
          </w:tblCellMar>
        </w:tblPrEx>
        <w:trPr>
          <w:trHeight w:val="1608"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shd w:val="clear" w:color="auto" w:fill="auto"/>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shd w:val="clear" w:color="auto" w:fill="auto"/>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shd w:val="clear" w:color="auto" w:fill="auto"/>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shd w:val="clear" w:color="auto" w:fill="auto"/>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七、农学大类</w:t>
            </w:r>
          </w:p>
        </w:tc>
      </w:tr>
      <w:tr>
        <w:tblPrEx>
          <w:shd w:val="clear" w:color="auto" w:fill="auto"/>
          <w:tblCellMar>
            <w:top w:w="0" w:type="dxa"/>
            <w:left w:w="0" w:type="dxa"/>
            <w:bottom w:w="0" w:type="dxa"/>
            <w:right w:w="0" w:type="dxa"/>
          </w:tblCellMar>
        </w:tblPrEx>
        <w:trPr>
          <w:trHeight w:val="458"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水产养殖学，海洋渔业科学与技术，水族科学与技术，捕捞学，渔业资源，水产养殖，水产养殖技术，水生动植物保护，海洋捕捞技术，渔业综合技术，城市渔业，淡水渔业，农业推广硕士（渔业）</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06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军事思想，战略学，军事战略学，战争动员学，军事硕士</w:t>
            </w:r>
          </w:p>
        </w:tc>
      </w:tr>
      <w:tr>
        <w:tblPrEx>
          <w:tblCellMar>
            <w:top w:w="0" w:type="dxa"/>
            <w:left w:w="0" w:type="dxa"/>
            <w:bottom w:w="0" w:type="dxa"/>
            <w:right w:w="0" w:type="dxa"/>
          </w:tblCellMar>
        </w:tblPrEx>
        <w:trPr>
          <w:trHeight w:val="1035"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shd w:val="clear" w:color="auto" w:fill="auto"/>
          <w:tblCellMar>
            <w:top w:w="0" w:type="dxa"/>
            <w:left w:w="0" w:type="dxa"/>
            <w:bottom w:w="0" w:type="dxa"/>
            <w:right w:w="0" w:type="dxa"/>
          </w:tblCellMar>
        </w:tblPrEx>
        <w:trPr>
          <w:trHeight w:val="6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0" w:type="dxa"/>
            <w:left w:w="0" w:type="dxa"/>
            <w:bottom w:w="0" w:type="dxa"/>
            <w:right w:w="0" w:type="dxa"/>
          </w:tblCellMar>
        </w:tblPrEx>
        <w:trPr>
          <w:trHeight w:val="12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129" w:lineRule="atLeast"/>
              <w:ind w:left="0" w:right="0" w:hanging="3"/>
              <w:jc w:val="left"/>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598"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shd w:val="clear" w:color="auto" w:fill="auto"/>
          <w:tblCellMar>
            <w:top w:w="0" w:type="dxa"/>
            <w:left w:w="0" w:type="dxa"/>
            <w:bottom w:w="0" w:type="dxa"/>
            <w:right w:w="0" w:type="dxa"/>
          </w:tblCellMar>
        </w:tblPrEx>
        <w:trPr>
          <w:trHeight w:val="54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pPr>
        <w:jc w:val="both"/>
        <w:rPr>
          <w:rFonts w:hint="eastAsia" w:ascii="楷体" w:hAnsi="楷体" w:eastAsia="楷体" w:cs="楷体"/>
          <w:b/>
          <w:bCs/>
          <w:i w:val="0"/>
          <w:caps w:val="0"/>
          <w:color w:val="333333"/>
          <w:spacing w:val="0"/>
          <w:sz w:val="40"/>
          <w:szCs w:val="40"/>
          <w:u w:val="none"/>
          <w:shd w:val="clear" w:fill="FEFEFE"/>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E342D3"/>
    <w:rsid w:val="051A7A25"/>
    <w:rsid w:val="4AE342D3"/>
    <w:rsid w:val="4C6C104F"/>
    <w:rsid w:val="78596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uiPriority w:val="0"/>
    <w:rPr>
      <w:color w:val="064FBC"/>
      <w:u w:val="none"/>
    </w:rPr>
  </w:style>
  <w:style w:type="character" w:styleId="5">
    <w:name w:val="Hyperlink"/>
    <w:basedOn w:val="3"/>
    <w:uiPriority w:val="0"/>
    <w:rPr>
      <w:color w:val="064FBC"/>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2020-06-05T00:04:00Z</dcterms:created>
  <dc:creator>张以锋。</dc:creator>
  <cp:lastModifiedBy>林云春</cp:lastModifiedBy>
  <dcterms:modified xsi:type="dcterms:W3CDTF">2021-02-18T08:06:12Z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